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9C" w:rsidRPr="00323584" w:rsidRDefault="0053070C" w:rsidP="0032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До відома </w:t>
      </w:r>
      <w:r w:rsidR="004F775F">
        <w:rPr>
          <w:rFonts w:ascii="Times New Roman" w:hAnsi="Times New Roman" w:cs="Times New Roman"/>
          <w:sz w:val="28"/>
          <w:szCs w:val="28"/>
          <w:lang w:val="uk-UA"/>
        </w:rPr>
        <w:t>суб'єктів</w:t>
      </w: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діяльність яких пов’язана із здійсненням викидів забруднюючих речовин в атмосферне повітря стаціонарними джерелами.</w:t>
      </w:r>
    </w:p>
    <w:p w:rsidR="00323584" w:rsidRPr="00323584" w:rsidRDefault="0053070C" w:rsidP="004F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23584"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статті 31 </w:t>
      </w: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атмосферного повітря» </w:t>
      </w:r>
      <w:r w:rsidR="00323584"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обліку   в  галузі  охорони  атмосферного  повітря підлягають: 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    об'єкти, які справляють або можуть справити шкідливий  вплив 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на здоров'я людей та на стан атмосферного повітря; 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    види та   обсяги   забруднюючих  речовин,  що  викидаються  в 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атмосферне повітря; 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    види і ступені впливу фізичних  та  біологічних  факторів  на 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стан атмосферного повітря. 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70C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Державний облік   у   галузі   охорони  атмосферного  повітря здійснюється за єдиною системою у порядку,  визначеному  Кабінетом Міністрів України.</w:t>
      </w:r>
    </w:p>
    <w:p w:rsidR="00323584" w:rsidRPr="00323584" w:rsidRDefault="00323584" w:rsidP="0032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Наказом № 177 від 10.05.2002 «Про затвердження 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повітря» прийнято наступний  Порядок узяття об'єктів на державний облік :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4.1. Об'єкти проводять інвентаризацію видів та обсягів забруднюючих речовин, що викидаються в атмосферне повітря;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за результатами інвентаризації встановлюють необхідність взяття їх на державний облік за критеріями, наведеними в розділі 2 цієї Інструкції;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готують документи згідно з розділом 3 цієї Інструкції та подають їх до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Об’єкти, які були взяті на державний облік, після проведення інвентаризації або її коригування готують документи згідно з розділом 3 цієї Інструкції та подають їх до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для коригування видів та обсягів викидів.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4.2. Якщо об'єкт має відокремлені підрозділи у різних населених пунктах, то кожний підрозділ може самостійно подати документи до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У випадку, коли відокремлений підрозділ здійснює викиди забруднюючих речовин в атмосферне повітря, обсяг яких за критеріями не дозволяє взяти його окремо на державний облік, підрозділ повідомляє про це об'єкт, який </w:t>
      </w:r>
      <w:r w:rsidRPr="0032358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повинен відобразити викиди цього підрозділу у своїй інформації при взятті його на облік.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4.3. Якщо об'єкт не перебуває на державному обліку, в той же час потенційний обсяг викидів забруднюючих речовин в атмосферне повітря збільшився і потребує взяття його на облік, він подає документи до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розділом 3 цієї Інструкції.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4.4. Об'єкт, який перебуває на державному обліку і в якого потенційний обсяг викидів забруднюючих речовин в атмосферне повітря зменшився до рівня, нижчого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порогових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значень, вказаних у додатку 1 до цієї Інструкції, надає до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для зняття його з обліку документи згідно з розділом 3 цієї Інструкції та пояснювальну записку із зазначенням причин зменшення викидів.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розглядає надані об'єктами документи щодо взяття їх на державний облік (зняття з обліку);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направляє об'єкту у місячний термін з дня надходження матеріалів повідомлення про взяття його на державний облік (зняття з обліку). У разі подання недостовірної документації вона повертається на доопрацювання;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складає перелік об'єктів, які перебувають на державному обліку;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здійснює накопичення, обробку та аналіз даних про об'єкти, узяті на державний облік, види та обсяги забруднюючих речовин, що викидаються в атмосферне повітря;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щороку до 01 грудня надає до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перелік об’єктів, які станом на 15 листопада звітного року перебувають на державному обліку (додаток 3);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веде журнал реєстрації об'єктів, узятих на державний облік (знятих з обліку) (додаток 4).</w:t>
      </w:r>
    </w:p>
    <w:p w:rsidR="00323584" w:rsidRP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4.6. Дані щодо обліку об'єктів, які перебувають на державному обліку, видів та обсягів забруднюючих речовин, що викидаються в атмосферне повітря, зберігаються у </w:t>
      </w:r>
      <w:proofErr w:type="spellStart"/>
      <w:r w:rsidRPr="00323584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5 років з моменту зняття їх з обліку.</w:t>
      </w:r>
    </w:p>
    <w:p w:rsidR="00323584" w:rsidRDefault="00323584" w:rsidP="003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75F" w:rsidRPr="004F775F" w:rsidRDefault="00323584" w:rsidP="004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</w:t>
      </w:r>
      <w:r w:rsidR="004F775F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bookmarkStart w:id="0" w:name="_GoBack"/>
      <w:bookmarkEnd w:id="0"/>
      <w:r w:rsidRPr="00323584"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4F775F">
        <w:rPr>
          <w:rFonts w:ascii="Times New Roman" w:hAnsi="Times New Roman" w:cs="Times New Roman"/>
          <w:sz w:val="28"/>
          <w:szCs w:val="28"/>
          <w:lang w:val="uk-UA"/>
        </w:rPr>
        <w:t xml:space="preserve">. наказу </w:t>
      </w:r>
      <w:proofErr w:type="spellStart"/>
      <w:r w:rsidR="004F775F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="004F775F">
        <w:rPr>
          <w:rFonts w:ascii="Times New Roman" w:hAnsi="Times New Roman" w:cs="Times New Roman"/>
          <w:sz w:val="28"/>
          <w:szCs w:val="28"/>
          <w:lang w:val="uk-UA"/>
        </w:rPr>
        <w:t xml:space="preserve"> від 09.03.2006 № 108 «</w:t>
      </w:r>
      <w:r w:rsidR="004F775F" w:rsidRPr="004F775F">
        <w:rPr>
          <w:rFonts w:ascii="Times New Roman" w:hAnsi="Times New Roman" w:cs="Times New Roman"/>
          <w:sz w:val="28"/>
          <w:szCs w:val="28"/>
          <w:lang w:val="uk-UA"/>
        </w:rPr>
        <w:t>Про затвердження Інструкції про загальні   ви</w:t>
      </w:r>
      <w:r w:rsidR="004F775F">
        <w:rPr>
          <w:rFonts w:ascii="Times New Roman" w:hAnsi="Times New Roman" w:cs="Times New Roman"/>
          <w:sz w:val="28"/>
          <w:szCs w:val="28"/>
          <w:lang w:val="uk-UA"/>
        </w:rPr>
        <w:t xml:space="preserve">моги до оформлення документів, </w:t>
      </w:r>
      <w:r w:rsidR="004F775F" w:rsidRPr="004F775F">
        <w:rPr>
          <w:rFonts w:ascii="Times New Roman" w:hAnsi="Times New Roman" w:cs="Times New Roman"/>
          <w:sz w:val="28"/>
          <w:szCs w:val="28"/>
          <w:lang w:val="uk-UA"/>
        </w:rPr>
        <w:t xml:space="preserve"> у яких обґрунтовуються обсяги викидів, для отримання дозволу на викиди забруднюючих речовин в атмосферне повітря стаціонарними              джерелами для підприємств, установ, організацій та громадян-підприємців</w:t>
      </w:r>
      <w:r w:rsidR="004F775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F775F" w:rsidRPr="004F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584" w:rsidRPr="00323584" w:rsidRDefault="00323584" w:rsidP="004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 Документів, у яких обґрунтовуються обсяги викидів, залежить  від  ступеня  впливу об'єкта на забруднення атмосферного повітря.  Об'єкти,  для  яких  розробляються  Документи,  у   яких обґрунтовуються обсяги викидів,  розподіляються на три групи.  Для кожної групи об'єктів склад документів повинен бути таким:</w:t>
      </w:r>
    </w:p>
    <w:p w:rsidR="00323584" w:rsidRPr="00323584" w:rsidRDefault="00323584" w:rsidP="004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    а) перша  група  -  об'єкти,  які  взяті на державний облік і мають виробництва або технологічне устаткування,  на яких  повинні впроваджуватися  найкращі доступні технології та методи керування, </w:t>
      </w:r>
    </w:p>
    <w:p w:rsidR="00323584" w:rsidRPr="00323584" w:rsidRDefault="00323584" w:rsidP="004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- документи, передбачені розділом 2 цієї Інструкції;</w:t>
      </w:r>
    </w:p>
    <w:p w:rsidR="00323584" w:rsidRPr="00323584" w:rsidRDefault="00323584" w:rsidP="004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    б) друга  група - об'єкти,  які взяті на державний облік і не мають виробництв або технологічного устаткування,  на яких повинні впроваджуватися  найкращі доступні технології та методи керування, - документи,  передбачені розділом 2,  за винятком  пунктів  2.11, </w:t>
      </w:r>
    </w:p>
    <w:p w:rsidR="00323584" w:rsidRPr="00323584" w:rsidRDefault="00323584" w:rsidP="004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>2.15 цієї Інструкції;</w:t>
      </w:r>
    </w:p>
    <w:p w:rsidR="00323584" w:rsidRPr="00323584" w:rsidRDefault="00323584" w:rsidP="004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584">
        <w:rPr>
          <w:rFonts w:ascii="Times New Roman" w:hAnsi="Times New Roman" w:cs="Times New Roman"/>
          <w:sz w:val="28"/>
          <w:szCs w:val="28"/>
          <w:lang w:val="uk-UA"/>
        </w:rPr>
        <w:t xml:space="preserve">     в) третя група - об'єкти,  які не входять до першої і  другої груп,  - документи, передбачені розділом 2, за винятком підпунктів 2.3.1 - 2.3.5,  2.7.2,  пунктів 2.8,  2.10, 2.11, 2.14 - 2.16 цієї Інструкції.</w:t>
      </w:r>
    </w:p>
    <w:sectPr w:rsidR="00323584" w:rsidRPr="0032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C"/>
    <w:rsid w:val="00323584"/>
    <w:rsid w:val="004F775F"/>
    <w:rsid w:val="0053070C"/>
    <w:rsid w:val="0086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2018-04-12T06:20:00Z</dcterms:created>
  <dcterms:modified xsi:type="dcterms:W3CDTF">2018-04-12T06:49:00Z</dcterms:modified>
</cp:coreProperties>
</file>